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拍卖成交公示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仙游县枫亭镇东宅村民委员会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委托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本公司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于20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5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26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日上午10:00时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在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仙游县枫亭镇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便民服务中心二楼网络化中心大厅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公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开拍卖仙游县枫亭镇东宅村所有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bidi="ar"/>
        </w:rPr>
        <w:t>的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位于仙游县枫亭镇东宅村便民服务中心大楼第一层旺铺五年租赁权，共有1位竞买人参加，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最终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由9号竞买人仙游县枫亭镇新旭日商行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以首年7万元成交金额（即五年总成交金额357070元）竞得该标的。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莆田市德正拍卖有限公司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2025年5月26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2021-04-14T21:02:00Z</dcterms:created>
  <dc:creator>Administrator</dc:creator>
  <cp:lastModifiedBy>iPhone</cp:lastModifiedBy>
  <cp:lastPrinted>2024-03-08T15:17:54Z</cp:lastPrinted>
  <dcterms:modified xsi:type="dcterms:W3CDTF">2025-05-26T12:02:08Z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853E31D2AD29F335C0E733685DDB9442_33</vt:lpwstr>
  </property>
</Properties>
</file>